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2021/63 vom 16. Januar 2023</w:t>
      </w:r>
    </w:p>
    <w:p>
      <w:r>
        <w:t>Sg Versicherungsgericht, 2023-01-16, DE</w:t>
      </w:r>
    </w:p>
    <w:p>
      <w:r>
        <w:rPr>
          <w:b/>
        </w:rPr>
        <w:t xml:space="preserve">Quelle: </w:t>
      </w:r>
      <w:r>
        <w:t>https://mcp.opencaselaw.ch/entscheid/sg_publikationen_UV 2021_63</w:t>
      </w:r>
    </w:p>
    <w:p>
      <w:r>
        <w:t>FR: SG_VERSICHERUNGSGERICHT UV 2021/63 du 16 janvier 2023</w:t>
      </w:r>
    </w:p>
    <w:p>
      <w:r>
        <w:t>IT: SG_VERSICHERUNGSGERICHT UV 2021/63 del 16 gennaio 2023</w:t>
      </w:r>
    </w:p>
    <w:p>
      <w:pPr>
        <w:pStyle w:val="Heading2"/>
      </w:pPr>
      <w:r>
        <w:t>Regeste</w:t>
      </w:r>
    </w:p>
    <w:p>
      <w:r>
        <w:t>Art. 19 Abs. 1 UVG. Die Einstellung der temporären Versicherungsleistungen und die Prüfung der Dauerleistungen erfolgte bei Anwendbarkeit der Schleudertrauma-Praxis und noch überwiegend wahrscheinlichem Verbesserungspotential verfrüht. Gutheissung der Beschwerde (Entscheid des Versicherungsgerichts des Kantons St. Gallen vom 16. Januar 2023, UV 2021/63).</w:t>
      </w:r>
    </w:p>
    <w:p>
      <w:pPr>
        <w:pStyle w:val="Heading2"/>
      </w:pPr>
      <w:r>
        <w:t>Erwägungen</w:t>
      </w:r>
    </w:p>
    <w:p>
      <w:r>
        <w:rPr>
          <w:b/>
        </w:rPr>
        <w:t>E. 3</w:t>
      </w:r>
    </w:p>
    <w:p>
      <w:r>
        <w:t>August 2021 aufgehoben und die Sache zur Prüfung und Ausrichtung der geschuldeten Leistungen über den 25. Januar 2021 hinaus im Sinne der Erwägungen an die Beschwerdegegnerin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